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95F82C">
      <w:pPr>
        <w:pStyle w:val="12"/>
        <w:keepNext/>
        <w:keepLines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center"/>
        <w:textAlignment w:val="baseline"/>
        <w:outlineLvl w:val="1"/>
        <w:rPr>
          <w:rFonts w:hint="eastAsia" w:ascii="黑体" w:hAnsi="黑体" w:eastAsia="黑体" w:cs="黑体"/>
          <w:lang w:val="en-US" w:eastAsia="zh-CN"/>
        </w:rPr>
      </w:pPr>
      <w:bookmarkStart w:id="7" w:name="_GoBack"/>
      <w:bookmarkStart w:id="0" w:name="_Toc22063"/>
      <w:bookmarkStart w:id="1" w:name="_Toc17846"/>
      <w:r>
        <w:rPr>
          <w:rFonts w:hint="eastAsia" w:ascii="黑体" w:hAnsi="黑体" w:eastAsia="黑体" w:cs="黑体"/>
          <w:lang w:val="en-US" w:eastAsia="zh-CN"/>
        </w:rPr>
        <w:t>初</w:t>
      </w:r>
      <w:bookmarkEnd w:id="0"/>
      <w:r>
        <w:rPr>
          <w:rFonts w:hint="eastAsia" w:ascii="黑体" w:hAnsi="黑体" w:eastAsia="黑体" w:cs="黑体"/>
          <w:lang w:val="en-US" w:eastAsia="zh-CN"/>
        </w:rPr>
        <w:t>始审查申请表</w:t>
      </w:r>
      <w:bookmarkEnd w:id="1"/>
    </w:p>
    <w:p w14:paraId="5C677087"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sz w:val="21"/>
          <w:szCs w:val="21"/>
          <w:lang w:val="en-US" w:eastAsia="zh-CN"/>
        </w:rPr>
      </w:pPr>
      <w:bookmarkStart w:id="2" w:name="_Toc11156"/>
      <w:r>
        <w:rPr>
          <w:rFonts w:hint="default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  <w:t>（药物、医疗器械及干预性IIT类临床试验研究项目）</w:t>
      </w:r>
      <w:bookmarkEnd w:id="2"/>
    </w:p>
    <w:bookmarkEnd w:id="7"/>
    <w:tbl>
      <w:tblPr>
        <w:tblStyle w:val="8"/>
        <w:tblW w:w="915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291"/>
        <w:gridCol w:w="588"/>
        <w:gridCol w:w="667"/>
        <w:gridCol w:w="889"/>
        <w:gridCol w:w="432"/>
        <w:gridCol w:w="1298"/>
        <w:gridCol w:w="294"/>
        <w:gridCol w:w="16"/>
        <w:gridCol w:w="782"/>
        <w:gridCol w:w="191"/>
        <w:gridCol w:w="475"/>
        <w:gridCol w:w="1065"/>
        <w:gridCol w:w="1093"/>
        <w:gridCol w:w="14"/>
      </w:tblGrid>
      <w:tr w14:paraId="404511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39893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项目名称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9E3FC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EA8D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8B51B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受理号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21ED7A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691CA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exact"/>
          <w:jc w:val="center"/>
        </w:trPr>
        <w:tc>
          <w:tcPr>
            <w:tcW w:w="135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06334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项目类型</w:t>
            </w: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B57B5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注册类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药物临床试验</w:t>
            </w:r>
          </w:p>
        </w:tc>
        <w:tc>
          <w:tcPr>
            <w:tcW w:w="28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05FD1C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52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Ⅰ期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Ⅱ期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Ⅲ期</w:t>
            </w:r>
          </w:p>
          <w:p w14:paraId="1C1ACF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其他：</w:t>
            </w:r>
          </w:p>
        </w:tc>
        <w:tc>
          <w:tcPr>
            <w:tcW w:w="28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51DDB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试验药物名称：</w:t>
            </w:r>
          </w:p>
        </w:tc>
      </w:tr>
      <w:tr w14:paraId="7A6ED3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01" w:hRule="exact"/>
          <w:jc w:val="center"/>
        </w:trPr>
        <w:tc>
          <w:tcPr>
            <w:tcW w:w="13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72DA9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ED98C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注册类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医疗器械临床试验</w:t>
            </w:r>
          </w:p>
        </w:tc>
        <w:tc>
          <w:tcPr>
            <w:tcW w:w="2822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491411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Ⅱ类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Ⅲ类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Ⅲ类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需国家药监局进行临床试验审批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诊断试剂</w:t>
            </w:r>
          </w:p>
        </w:tc>
        <w:tc>
          <w:tcPr>
            <w:tcW w:w="282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B742F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试验器械名称：</w:t>
            </w:r>
          </w:p>
        </w:tc>
      </w:tr>
      <w:tr w14:paraId="31668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02" w:hRule="exact"/>
          <w:jc w:val="center"/>
        </w:trPr>
        <w:tc>
          <w:tcPr>
            <w:tcW w:w="13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50411D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1BDFC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非注册类临床研究</w:t>
            </w:r>
          </w:p>
        </w:tc>
        <w:tc>
          <w:tcPr>
            <w:tcW w:w="564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0E1AF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药物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Ⅳ期</w:t>
            </w:r>
          </w:p>
          <w:p w14:paraId="2F7A31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纵向课题：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国家级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省级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市级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其他:  课题编号:</w:t>
            </w:r>
          </w:p>
          <w:p w14:paraId="7EF5A5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横向课题：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企业资助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行业学会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其他:</w:t>
            </w:r>
          </w:p>
          <w:p w14:paraId="026C005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院内课题</w:t>
            </w:r>
          </w:p>
          <w:p w14:paraId="6BDB83F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自选课题</w:t>
            </w:r>
          </w:p>
        </w:tc>
      </w:tr>
      <w:tr w14:paraId="41A835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3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2A9800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2144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EB57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其他</w:t>
            </w:r>
          </w:p>
        </w:tc>
        <w:tc>
          <w:tcPr>
            <w:tcW w:w="5646" w:type="dxa"/>
            <w:gridSpan w:val="9"/>
            <w:tcBorders>
              <w:tl2br w:val="nil"/>
              <w:tr2bl w:val="nil"/>
            </w:tcBorders>
            <w:noWrap w:val="0"/>
            <w:vAlign w:val="center"/>
          </w:tcPr>
          <w:p w14:paraId="55FDF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5F50A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353" w:type="dxa"/>
            <w:gridSpan w:val="2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36822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设计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C9FE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bookmarkStart w:id="3" w:name="OLE_LINK11"/>
            <w:bookmarkStart w:id="4" w:name="OLE_LINK7"/>
            <w:bookmarkStart w:id="5" w:name="OLE_LINK8"/>
            <w:bookmarkStart w:id="6" w:name="OLE_LINK10"/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回顾性观察性研究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前瞻性观察性研究</w:t>
            </w:r>
            <w:bookmarkEnd w:id="3"/>
            <w:bookmarkEnd w:id="4"/>
            <w:bookmarkEnd w:id="5"/>
            <w:bookmarkEnd w:id="6"/>
          </w:p>
        </w:tc>
      </w:tr>
      <w:tr w14:paraId="5F12C8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353" w:type="dxa"/>
            <w:gridSpan w:val="2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7A1A53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DBFC8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病例报道，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干预性试验，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观察性研究，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其他:</w:t>
            </w:r>
          </w:p>
        </w:tc>
      </w:tr>
      <w:tr w14:paraId="3152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EE8AC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申办单位</w:t>
            </w:r>
          </w:p>
        </w:tc>
        <w:tc>
          <w:tcPr>
            <w:tcW w:w="38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53E1ED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6F76F4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CRO公司</w:t>
            </w:r>
          </w:p>
        </w:tc>
        <w:tc>
          <w:tcPr>
            <w:tcW w:w="26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3FFE1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356EFD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0CC3A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研究性质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8DE4D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多中心（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国际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国内）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独立中心</w:t>
            </w:r>
          </w:p>
        </w:tc>
      </w:tr>
      <w:tr w14:paraId="775FE2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0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B937B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组长单位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/专业组/PI</w:t>
            </w:r>
          </w:p>
        </w:tc>
        <w:tc>
          <w:tcPr>
            <w:tcW w:w="38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76ACD1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8674A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研究时间</w:t>
            </w:r>
          </w:p>
        </w:tc>
        <w:tc>
          <w:tcPr>
            <w:tcW w:w="26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E2939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3B10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FFB50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参加单位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B7DFA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color w:val="A6A6A6"/>
                <w:sz w:val="21"/>
                <w:szCs w:val="21"/>
              </w:rPr>
            </w:pPr>
          </w:p>
        </w:tc>
      </w:tr>
      <w:tr w14:paraId="0A517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2A59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承担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科室</w:t>
            </w:r>
          </w:p>
          <w:p w14:paraId="177B5E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（本中心）</w:t>
            </w:r>
          </w:p>
        </w:tc>
        <w:tc>
          <w:tcPr>
            <w:tcW w:w="3874" w:type="dxa"/>
            <w:gridSpan w:val="5"/>
            <w:tcBorders>
              <w:tl2br w:val="nil"/>
              <w:tr2bl w:val="nil"/>
            </w:tcBorders>
            <w:noWrap w:val="0"/>
            <w:vAlign w:val="center"/>
          </w:tcPr>
          <w:p w14:paraId="3AC4E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283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F201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PI</w:t>
            </w:r>
          </w:p>
        </w:tc>
        <w:tc>
          <w:tcPr>
            <w:tcW w:w="263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3F1C3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647DF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02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39F8F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研究对象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090B5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受试者类别：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健康志愿者，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住院病人，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门诊病人</w:t>
            </w:r>
          </w:p>
          <w:p w14:paraId="3A6EEA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受试者年龄范围：岁— 岁</w:t>
            </w:r>
          </w:p>
          <w:p w14:paraId="061051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受试者是否有弱势群体（可多选）：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5A740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精神疾病，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危重疾病患者，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终末期患者，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认知障碍或因健康状况而没有能力做出知情同意的成人，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孕妇，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儿童/未成年人，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囚犯，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经济地位低下的人员，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申办者/研究者的雇员或学生，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其他:</w:t>
            </w:r>
          </w:p>
        </w:tc>
      </w:tr>
      <w:tr w14:paraId="1E73F1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9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FE7C8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受试者人数：</w:t>
            </w:r>
          </w:p>
        </w:tc>
        <w:tc>
          <w:tcPr>
            <w:tcW w:w="72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10B24C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项目总例数: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  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，本中心承担例数:</w:t>
            </w:r>
          </w:p>
        </w:tc>
      </w:tr>
      <w:tr w14:paraId="6AEC45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9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41A2F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是否有招募材料</w:t>
            </w:r>
          </w:p>
        </w:tc>
        <w:tc>
          <w:tcPr>
            <w:tcW w:w="72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61A29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是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→请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填写下列选项</w:t>
            </w:r>
          </w:p>
        </w:tc>
      </w:tr>
      <w:tr w14:paraId="7DADB2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9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76E86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招募方法（可多选）</w:t>
            </w:r>
          </w:p>
        </w:tc>
        <w:tc>
          <w:tcPr>
            <w:tcW w:w="72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58AFD3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招募启事，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互联网，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电子邮件，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微信，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手机短信，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其他：</w:t>
            </w:r>
          </w:p>
        </w:tc>
      </w:tr>
      <w:tr w14:paraId="33A7C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jc w:val="center"/>
        </w:trPr>
        <w:tc>
          <w:tcPr>
            <w:tcW w:w="19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524D6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计划招募地点</w:t>
            </w:r>
          </w:p>
        </w:tc>
        <w:tc>
          <w:tcPr>
            <w:tcW w:w="72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31C47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门诊，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病房，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社区，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其他:</w:t>
            </w:r>
          </w:p>
        </w:tc>
      </w:tr>
      <w:tr w14:paraId="72D4EA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102" w:hRule="exact"/>
          <w:jc w:val="center"/>
        </w:trPr>
        <w:tc>
          <w:tcPr>
            <w:tcW w:w="19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CC5B2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生物学标本采集</w:t>
            </w:r>
          </w:p>
        </w:tc>
        <w:tc>
          <w:tcPr>
            <w:tcW w:w="72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4DDA05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是否涉及遗传办申请（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t>请参考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fldChar w:fldCharType="begin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instrText xml:space="preserve"> HYPERLINK "https://fuwu.most.gov.cn/html/jcxtml/20181201/2837.html?tab=fwzn" </w:instrTex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fldChar w:fldCharType="separate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t>科技部政务服务平台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t>(most.gov.cn)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fldChar w:fldCharType="end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color w:val="FF0000"/>
                <w:sz w:val="21"/>
                <w:szCs w:val="21"/>
              </w:rPr>
              <w:t>人类遗传资源管理适用范围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）：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219B19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标本类型(可多选)：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病人信息，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体液(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次数)，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血液(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ml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/次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次数)，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组织标本，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其他:</w:t>
            </w:r>
          </w:p>
          <w:p w14:paraId="14389B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样本来源：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既往留存，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生物样本库，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计划采集，请说明采集方式:</w:t>
            </w:r>
          </w:p>
          <w:p w14:paraId="103EEA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是否涉及基因检测：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7B03D8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本研究使用的数据及/或生物样本储存将用于：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仅限该研究，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将来某一特定研究，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将来非特定研究</w:t>
            </w:r>
          </w:p>
          <w:p w14:paraId="0F04C1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样本外送：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是→样本去向:</w:t>
            </w:r>
          </w:p>
        </w:tc>
      </w:tr>
      <w:tr w14:paraId="3B853A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04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CB47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知情同意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15B701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获取知情同意的场所：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受试者接待室，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门诊诊室，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病房，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其他：</w:t>
            </w:r>
          </w:p>
          <w:p w14:paraId="2AD81E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103" w:leftChars="49" w:right="107"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知情同意书的签字：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2"/>
                <w:kern w:val="0"/>
                <w:sz w:val="21"/>
                <w:szCs w:val="21"/>
              </w:rPr>
              <w:t>书面（签字（可多选）：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2"/>
                <w:kern w:val="0"/>
                <w:sz w:val="21"/>
                <w:szCs w:val="21"/>
              </w:rPr>
              <w:t>受试者本人，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2"/>
                <w:kern w:val="0"/>
                <w:sz w:val="21"/>
                <w:szCs w:val="21"/>
              </w:rPr>
              <w:t>监护人，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2"/>
                <w:kern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napToGrid w:val="0"/>
                <w:color w:val="000000"/>
                <w:spacing w:val="-2"/>
                <w:kern w:val="0"/>
                <w:sz w:val="21"/>
                <w:szCs w:val="21"/>
              </w:rPr>
              <w:t>公正见证人）</w:t>
            </w:r>
          </w:p>
          <w:p w14:paraId="50BE4DD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由谁向受试者说明研究信息：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医生，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研究者，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研究助理，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研究护士，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其他:</w:t>
            </w:r>
          </w:p>
          <w:p w14:paraId="02BA8C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知情同意的例外情况：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是→填写下列选项</w:t>
            </w:r>
          </w:p>
          <w:p w14:paraId="617AF8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申请开展在紧急情况下无法获得知情同意的研究：</w:t>
            </w:r>
          </w:p>
          <w:p w14:paraId="5E803B75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研究人群处于危及生命的紧急状况，需要在发病后很快进行干预。</w:t>
            </w:r>
          </w:p>
          <w:p w14:paraId="1B3EF590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在该危急情况下，大部分病人无法给予知情同意，且没有时间找到监护人</w:t>
            </w:r>
          </w:p>
          <w:p w14:paraId="6F1387B4">
            <w:pPr>
              <w:pStyle w:val="14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="420" w:leftChars="0" w:hanging="42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缺乏已被证实有效的治疗方法，而试验药物或干预有望挽救生命，恢复健康，或减轻病痛。</w:t>
            </w:r>
          </w:p>
          <w:p w14:paraId="1C8C8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申请免除知情同意 → 临床常规诊疗获得的病历资料/生物标本的研究。</w:t>
            </w:r>
          </w:p>
          <w:p w14:paraId="56FFE6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申请免除知情同意 → 研究病历/生物标本的二次利用。</w:t>
            </w:r>
          </w:p>
          <w:p w14:paraId="0374EA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申请免除知情同意签字 → 签了字的知情同意书会对受试者的隐私构成不正当的威胁，联系受试者真实身份和研究的唯一记录是知情同意文件，并且主要风险就来自于受试者身份或个人隐私的泄露。</w:t>
            </w:r>
          </w:p>
          <w:p w14:paraId="1D035C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210" w:firstLineChars="10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申请免除知情同意签字 → 研究对受试者的风险不大于最小风险，并且如果脱离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背景，相同情况下的行为或程序不要求签署书面知情同意。如访谈研究，邮件/电话调查。</w:t>
            </w:r>
          </w:p>
          <w:p w14:paraId="37AA04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是否用受试者能理解的非专业术语告知研究信息？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3ADEB3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是否按照法规指南告知参加研究的重要信息？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101F096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不会诱导或强制受试者参加？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</w:tc>
      </w:tr>
      <w:tr w14:paraId="380CC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3402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E692E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研究相关费用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BE96C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1、试验药物/器械：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申办方提供，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受试者自费，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其他：</w:t>
            </w:r>
          </w:p>
          <w:p w14:paraId="26FAE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2、对照药物/器械：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申办方提供，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受试者自费，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其他：</w:t>
            </w:r>
          </w:p>
          <w:p w14:paraId="33DE93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3、研究相关化验检查费用：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申办方提供，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受试者自费，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其他：</w:t>
            </w:r>
          </w:p>
          <w:p w14:paraId="650C4F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4、其他研究相关费用（如住院费、手术费等）：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申办方提供（请具体说明：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受试者自费（请具体说明：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），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其他：</w:t>
            </w:r>
          </w:p>
          <w:p w14:paraId="10AE68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5、若使用受试者入组前的相关化验检查结果，相关费用：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申办方提供，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受试者自费，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其他：</w:t>
            </w:r>
          </w:p>
        </w:tc>
      </w:tr>
      <w:tr w14:paraId="648056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268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155EA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研究相关损害风险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079E880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是否对受试者存在潜在伤害：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是:，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3B74224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是否涉及创伤性诊疗程序：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7E79148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是否有独立的数据安全监察委员会：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是→请提交数据安全监察计划送审，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1A6089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针对研究风险是否有风险防范控制措施：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是→请提交送审，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</w:tc>
      </w:tr>
      <w:tr w14:paraId="175F11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134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BB55C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研究获益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7106D6C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1、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是否给受试者带来直接受益：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6FDE9A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  <w:t>2、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是否给社会带来受益：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是: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sym w:font="Wingdings 2" w:char="00A3"/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</w:tc>
      </w:tr>
      <w:tr w14:paraId="17E0F0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1701" w:hRule="exac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53D08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补偿及赔偿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1F010C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是否提供补偿费用：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是→简要说明补偿方式及金额:，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3816893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资助方/项目组是否提供赔偿金：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  <w:p w14:paraId="26A696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是否购买临床研究保险：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是→请提交含本中心列表的保单送审，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</w:tc>
      </w:tr>
      <w:tr w14:paraId="4F3208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9143" w:type="dxa"/>
            <w:gridSpan w:val="14"/>
            <w:tcBorders>
              <w:tl2br w:val="nil"/>
              <w:tr2bl w:val="nil"/>
            </w:tcBorders>
            <w:noWrap w:val="0"/>
            <w:vAlign w:val="center"/>
          </w:tcPr>
          <w:p w14:paraId="262F3E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送审及受理程序</w:t>
            </w:r>
          </w:p>
        </w:tc>
      </w:tr>
      <w:tr w14:paraId="1A400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8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F4A81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研究者承诺内容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6430B0BB">
            <w:pPr>
              <w:pStyle w:val="14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本人承诺待该项目批准后，我将遵循GCP、方案以及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伦理委员会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的要求，开展本项临床研究。①及时上报研究过程中的各类信息，任何修订将事先报告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伦理委员会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，待批准后继续开展。②在跟踪审查规定日期前一个月递交研究进展报告供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伦理委员会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审查，逾期未交报告而造成研究数据无法使用，由本人承担相应责任。③所有涉及人类遗传资源采集、收集、买卖、出口、出境的研究，待获得人类遗传办批件后再开展。</w:t>
            </w:r>
          </w:p>
        </w:tc>
      </w:tr>
      <w:tr w14:paraId="14C7B7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288" w:hRule="atLeast"/>
          <w:jc w:val="center"/>
        </w:trPr>
        <w:tc>
          <w:tcPr>
            <w:tcW w:w="1353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181D9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研究者利益冲突声明</w:t>
            </w:r>
          </w:p>
        </w:tc>
        <w:tc>
          <w:tcPr>
            <w:tcW w:w="7790" w:type="dxa"/>
            <w:gridSpan w:val="12"/>
            <w:tcBorders>
              <w:tl2br w:val="nil"/>
              <w:tr2bl w:val="nil"/>
            </w:tcBorders>
            <w:noWrap w:val="0"/>
            <w:vAlign w:val="center"/>
          </w:tcPr>
          <w:p w14:paraId="4BEE3C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我作为本临床研究的主要研究者，在此研究中不存在经济上、物质上、以及社会关系方面的利益冲突。倘若在研究开展过程中发现目前尚未知晓的利益冲突，我将及时向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伦理委员会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报告。</w:t>
            </w:r>
          </w:p>
        </w:tc>
      </w:tr>
      <w:tr w14:paraId="77DF6D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9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0F058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主要研究者签字</w:t>
            </w:r>
          </w:p>
        </w:tc>
        <w:tc>
          <w:tcPr>
            <w:tcW w:w="35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2B9593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1FAA5D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送审日期</w:t>
            </w:r>
          </w:p>
        </w:tc>
        <w:tc>
          <w:tcPr>
            <w:tcW w:w="2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17EF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51395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19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49B9F0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申办方/CRO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联络人签字及电话</w:t>
            </w:r>
          </w:p>
        </w:tc>
        <w:tc>
          <w:tcPr>
            <w:tcW w:w="3596" w:type="dxa"/>
            <w:gridSpan w:val="6"/>
            <w:tcBorders>
              <w:tl2br w:val="nil"/>
              <w:tr2bl w:val="nil"/>
            </w:tcBorders>
            <w:noWrap w:val="0"/>
            <w:vAlign w:val="center"/>
          </w:tcPr>
          <w:p w14:paraId="54652F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4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9C398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送审日期</w:t>
            </w:r>
          </w:p>
        </w:tc>
        <w:tc>
          <w:tcPr>
            <w:tcW w:w="2158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3419F5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46ED1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  <w:vMerge w:val="restart"/>
            <w:tcBorders>
              <w:tl2br w:val="nil"/>
              <w:tr2bl w:val="nil"/>
            </w:tcBorders>
            <w:noWrap w:val="0"/>
            <w:vAlign w:val="center"/>
          </w:tcPr>
          <w:p w14:paraId="73A16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行政主管部门</w:t>
            </w:r>
          </w:p>
        </w:tc>
        <w:tc>
          <w:tcPr>
            <w:tcW w:w="15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3644B4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科教科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9E82A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9D3F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该项目已立项</w:t>
            </w:r>
          </w:p>
          <w:p w14:paraId="2688A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项目来源正确</w:t>
            </w:r>
          </w:p>
        </w:tc>
        <w:tc>
          <w:tcPr>
            <w:tcW w:w="14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28BE12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是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61FAB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受理日期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0FCD8E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51C430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62" w:type="dxa"/>
            <w:vMerge w:val="continue"/>
            <w:tcBorders>
              <w:tl2br w:val="nil"/>
              <w:tr2bl w:val="nil"/>
            </w:tcBorders>
            <w:noWrap w:val="0"/>
            <w:vAlign w:val="center"/>
          </w:tcPr>
          <w:p w14:paraId="6876CE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46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7E3494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药物/器械</w:t>
            </w:r>
          </w:p>
          <w:p w14:paraId="16E18F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Style w:val="11"/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临床试验机构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863A0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0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C81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是否同意立项</w:t>
            </w:r>
          </w:p>
        </w:tc>
        <w:tc>
          <w:tcPr>
            <w:tcW w:w="1448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6A99EA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是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3DCBD5D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受理日期</w:t>
            </w:r>
          </w:p>
        </w:tc>
        <w:tc>
          <w:tcPr>
            <w:tcW w:w="1107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E8E93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6D24D2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567" w:hRule="exact"/>
          <w:jc w:val="center"/>
        </w:trPr>
        <w:tc>
          <w:tcPr>
            <w:tcW w:w="2608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0BE382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伦理委员会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签字</w:t>
            </w:r>
          </w:p>
        </w:tc>
        <w:tc>
          <w:tcPr>
            <w:tcW w:w="1321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1D7D13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  <w:p w14:paraId="1029CF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592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5542D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资料符合要求</w:t>
            </w:r>
          </w:p>
        </w:tc>
        <w:tc>
          <w:tcPr>
            <w:tcW w:w="1464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 w14:paraId="23A8945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是  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否</w:t>
            </w:r>
          </w:p>
        </w:tc>
        <w:tc>
          <w:tcPr>
            <w:tcW w:w="1065" w:type="dxa"/>
            <w:tcBorders>
              <w:tl2br w:val="nil"/>
              <w:tr2bl w:val="nil"/>
            </w:tcBorders>
            <w:noWrap w:val="0"/>
            <w:vAlign w:val="center"/>
          </w:tcPr>
          <w:p w14:paraId="640BB0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受理日期</w:t>
            </w:r>
          </w:p>
        </w:tc>
        <w:tc>
          <w:tcPr>
            <w:tcW w:w="1093" w:type="dxa"/>
            <w:tcBorders>
              <w:tl2br w:val="nil"/>
              <w:tr2bl w:val="nil"/>
            </w:tcBorders>
            <w:noWrap w:val="0"/>
            <w:vAlign w:val="center"/>
          </w:tcPr>
          <w:p w14:paraId="7A184A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</w:p>
        </w:tc>
      </w:tr>
      <w:tr w14:paraId="2A8230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4" w:type="dxa"/>
          <w:trHeight w:val="850" w:hRule="exact"/>
          <w:jc w:val="center"/>
        </w:trPr>
        <w:tc>
          <w:tcPr>
            <w:tcW w:w="1941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 w14:paraId="5870D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审查形式（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>医学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伦理委员会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勾选）</w:t>
            </w:r>
          </w:p>
        </w:tc>
        <w:tc>
          <w:tcPr>
            <w:tcW w:w="7202" w:type="dxa"/>
            <w:gridSpan w:val="11"/>
            <w:tcBorders>
              <w:tl2br w:val="nil"/>
              <w:tr2bl w:val="nil"/>
            </w:tcBorders>
            <w:noWrap w:val="0"/>
            <w:vAlign w:val="center"/>
          </w:tcPr>
          <w:p w14:paraId="738596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简易审查  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会议审查 （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紧急会议）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b w:val="0"/>
                <w:bCs w:val="0"/>
                <w:sz w:val="21"/>
                <w:szCs w:val="21"/>
              </w:rPr>
              <w:t>秘书审阅后备案</w:t>
            </w:r>
          </w:p>
        </w:tc>
      </w:tr>
    </w:tbl>
    <w:p w14:paraId="416701D9">
      <w:pPr>
        <w:pageBreakBefore w:val="0"/>
        <w:overflowPunct/>
        <w:topLinePunct w:val="0"/>
        <w:bidi w:val="0"/>
        <w:spacing w:line="240" w:lineRule="auto"/>
        <w:jc w:val="center"/>
        <w:rPr>
          <w:rFonts w:hint="default"/>
          <w:lang w:val="en-US" w:eastAsia="zh-CN"/>
        </w:rPr>
      </w:pPr>
    </w:p>
    <w:p w14:paraId="39FF697B">
      <w:pPr>
        <w:pageBreakBefore w:val="0"/>
        <w:overflowPunct/>
        <w:topLinePunct w:val="0"/>
        <w:bidi w:val="0"/>
        <w:spacing w:line="240" w:lineRule="auto"/>
        <w:jc w:val="center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ingdings 2">
    <w:altName w:val="Wingding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72B50F7">
    <w:pPr>
      <w:pStyle w:val="3"/>
      <w:spacing w:line="14" w:lineRule="auto"/>
      <w:rPr>
        <w:sz w:val="2"/>
      </w:rPr>
    </w:pPr>
    <w:r>
      <w:rPr>
        <w:sz w:val="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8" name="文本框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0B856D3">
                          <w:pPr>
                            <w:pStyle w:val="6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197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DqSjhE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0B856D3">
                    <w:pPr>
                      <w:pStyle w:val="6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197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46ACC61"/>
    <w:multiLevelType w:val="singleLevel"/>
    <w:tmpl w:val="846ACC61"/>
    <w:lvl w:ilvl="0" w:tentative="0">
      <w:start w:val="1"/>
      <w:numFmt w:val="chineseCounting"/>
      <w:pStyle w:val="13"/>
      <w:suff w:val="nothing"/>
      <w:lvlText w:val="%1、"/>
      <w:lvlJc w:val="left"/>
      <w:rPr>
        <w:rFonts w:hint="eastAsia"/>
      </w:rPr>
    </w:lvl>
  </w:abstractNum>
  <w:abstractNum w:abstractNumId="1">
    <w:nsid w:val="D3A2CE4E"/>
    <w:multiLevelType w:val="singleLevel"/>
    <w:tmpl w:val="D3A2CE4E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sz w:val="13"/>
      </w:rPr>
    </w:lvl>
  </w:abstractNum>
  <w:abstractNum w:abstractNumId="2">
    <w:nsid w:val="090AF5BA"/>
    <w:multiLevelType w:val="singleLevel"/>
    <w:tmpl w:val="090AF5B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3462441D"/>
    <w:multiLevelType w:val="singleLevel"/>
    <w:tmpl w:val="3462441D"/>
    <w:lvl w:ilvl="0" w:tentative="0">
      <w:start w:val="1"/>
      <w:numFmt w:val="decimal"/>
      <w:suff w:val="nothing"/>
      <w:lvlText w:val="%1、"/>
      <w:lvlJc w:val="left"/>
    </w:lvl>
  </w:abstractNum>
  <w:abstractNum w:abstractNumId="4">
    <w:nsid w:val="47AED215"/>
    <w:multiLevelType w:val="singleLevel"/>
    <w:tmpl w:val="47AED21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75615C0"/>
    <w:rsid w:val="36412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360" w:lineRule="auto"/>
      <w:jc w:val="center"/>
      <w:outlineLvl w:val="0"/>
    </w:pPr>
    <w:rPr>
      <w:b/>
      <w:bCs/>
      <w:kern w:val="44"/>
      <w:sz w:val="36"/>
      <w:szCs w:val="44"/>
    </w:rPr>
  </w:style>
  <w:style w:type="character" w:default="1" w:styleId="10">
    <w:name w:val="Default Paragraph Font"/>
    <w:semiHidden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qFormat/>
    <w:uiPriority w:val="0"/>
    <w:rPr>
      <w:rFonts w:ascii="Arial" w:hAnsi="Arial" w:eastAsia="Arial" w:cs="Arial"/>
      <w:szCs w:val="21"/>
      <w:lang w:eastAsia="en-US"/>
    </w:rPr>
  </w:style>
  <w:style w:type="paragraph" w:styleId="4">
    <w:name w:val="Body Text Indent"/>
    <w:basedOn w:val="1"/>
    <w:qFormat/>
    <w:uiPriority w:val="0"/>
    <w:pPr>
      <w:ind w:firstLine="420" w:firstLineChars="200"/>
    </w:pPr>
  </w:style>
  <w:style w:type="paragraph" w:styleId="5">
    <w:name w:val="Plain Text"/>
    <w:basedOn w:val="1"/>
    <w:unhideWhenUsed/>
    <w:qFormat/>
    <w:uiPriority w:val="0"/>
    <w:pPr>
      <w:widowControl/>
      <w:jc w:val="left"/>
    </w:pPr>
    <w:rPr>
      <w:rFonts w:ascii="Courier New" w:hAnsi="Courier New"/>
      <w:kern w:val="0"/>
      <w:sz w:val="20"/>
      <w:szCs w:val="20"/>
      <w:lang w:eastAsia="en-US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annotation reference"/>
    <w:unhideWhenUsed/>
    <w:qFormat/>
    <w:uiPriority w:val="99"/>
    <w:rPr>
      <w:sz w:val="21"/>
      <w:szCs w:val="21"/>
    </w:rPr>
  </w:style>
  <w:style w:type="paragraph" w:customStyle="1" w:styleId="12">
    <w:name w:val="21bc9c4b-6a32-43e5-beaa-fd2d792c5735"/>
    <w:basedOn w:val="2"/>
    <w:next w:val="13"/>
    <w:qFormat/>
    <w:uiPriority w:val="0"/>
    <w:pPr>
      <w:widowControl/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 w:val="0"/>
      <w:color w:val="000000"/>
      <w:spacing w:val="-3"/>
      <w:sz w:val="32"/>
    </w:rPr>
  </w:style>
  <w:style w:type="paragraph" w:customStyle="1" w:styleId="13">
    <w:name w:val="acbfdd8b-e11b-4d36-88ff-6049b138f862"/>
    <w:basedOn w:val="1"/>
    <w:qFormat/>
    <w:uiPriority w:val="0"/>
    <w:pPr>
      <w:widowControl/>
      <w:numPr>
        <w:ilvl w:val="0"/>
        <w:numId w:val="1"/>
      </w:numPr>
      <w:autoSpaceDE w:val="0"/>
      <w:autoSpaceDN w:val="0"/>
      <w:adjustRightInd w:val="0"/>
      <w:snapToGrid w:val="0"/>
      <w:spacing w:line="288" w:lineRule="auto"/>
      <w:jc w:val="left"/>
      <w:textAlignment w:val="baseline"/>
    </w:pPr>
    <w:rPr>
      <w:rFonts w:ascii="微软雅黑" w:hAnsi="微软雅黑" w:eastAsia="微软雅黑" w:cs="黑体"/>
      <w:bCs/>
      <w:color w:val="000000"/>
      <w:spacing w:val="-3"/>
      <w:sz w:val="22"/>
    </w:rPr>
  </w:style>
  <w:style w:type="paragraph" w:styleId="14">
    <w:name w:val="List Paragraph"/>
    <w:basedOn w:val="1"/>
    <w:unhideWhenUsed/>
    <w:qFormat/>
    <w:uiPriority w:val="99"/>
    <w:pPr>
      <w:ind w:firstLine="420" w:firstLineChars="200"/>
    </w:pPr>
  </w:style>
  <w:style w:type="paragraph" w:customStyle="1" w:styleId="15">
    <w:name w:val="Table Paragraph"/>
    <w:basedOn w:val="1"/>
    <w:qFormat/>
    <w:uiPriority w:val="1"/>
    <w:pPr>
      <w:spacing w:before="25"/>
      <w:ind w:left="107"/>
    </w:pPr>
  </w:style>
  <w:style w:type="table" w:customStyle="1" w:styleId="16">
    <w:name w:val="Table Normal"/>
    <w:semiHidden/>
    <w:unhideWhenUsed/>
    <w:qFormat/>
    <w:uiPriority w:val="2"/>
    <w:pPr>
      <w:widowControl w:val="0"/>
      <w:autoSpaceDE w:val="0"/>
      <w:autoSpaceDN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8394</Words>
  <Characters>8732</Characters>
  <Lines>0</Lines>
  <Paragraphs>0</Paragraphs>
  <TotalTime>33</TotalTime>
  <ScaleCrop>false</ScaleCrop>
  <LinksUpToDate>false</LinksUpToDate>
  <CharactersWithSpaces>9570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2025-03-31T06:34:00Z</dcterms:created>
  <dc:creator>Administrator</dc:creator>
  <cp:lastModifiedBy>anuo</cp:lastModifiedBy>
  <dcterms:modified xsi:type="dcterms:W3CDTF">2025-03-31T08:02:58Z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eyJoZGlkIjoiZDA3ZDQwMmNiOWFlYzZjYTcwOWJiZGQ0YTA5ODBmZGUiLCJ1c2VySWQiOiIxMDE0OTYwMjkxIn0=</vt:lpwstr>
  </property>
  <property fmtid="{D5CDD505-2E9C-101B-9397-08002B2CF9AE}" pid="4" name="ICV">
    <vt:lpwstr>4818FAFEE1934FDBA641E1BA38049BBD_12</vt:lpwstr>
  </property>
</Properties>
</file>