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E117E">
      <w:pPr>
        <w:pStyle w:val="6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Toc5626"/>
      <w:r>
        <w:rPr>
          <w:rFonts w:hint="eastAsia" w:ascii="黑体" w:hAnsi="黑体" w:eastAsia="黑体" w:cs="黑体"/>
          <w:lang w:val="en-US" w:eastAsia="zh-CN"/>
        </w:rPr>
        <w:t>严重不良事件报告表</w:t>
      </w:r>
      <w:bookmarkEnd w:id="0"/>
    </w:p>
    <w:tbl>
      <w:tblPr>
        <w:tblStyle w:val="9"/>
        <w:tblW w:w="8528" w:type="dxa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396"/>
      </w:tblGrid>
      <w:tr w14:paraId="4CE63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32" w:type="dxa"/>
          </w:tcPr>
          <w:p w14:paraId="4816A00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临床试验项目名称</w:t>
            </w:r>
          </w:p>
        </w:tc>
        <w:tc>
          <w:tcPr>
            <w:tcW w:w="6396" w:type="dxa"/>
          </w:tcPr>
          <w:p w14:paraId="7645B5E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AD02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2" w:type="dxa"/>
          </w:tcPr>
          <w:p w14:paraId="5C28937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报告类型</w:t>
            </w:r>
          </w:p>
        </w:tc>
        <w:tc>
          <w:tcPr>
            <w:tcW w:w="6396" w:type="dxa"/>
          </w:tcPr>
          <w:p w14:paraId="06DCB72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首次，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随访，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总结报告</w:t>
            </w:r>
          </w:p>
        </w:tc>
      </w:tr>
      <w:tr w14:paraId="2AB080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2" w:type="dxa"/>
          </w:tcPr>
          <w:p w14:paraId="7A65905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报告时间</w:t>
            </w:r>
          </w:p>
        </w:tc>
        <w:tc>
          <w:tcPr>
            <w:tcW w:w="6396" w:type="dxa"/>
          </w:tcPr>
          <w:p w14:paraId="6ED993F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u w:val="none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u w:val="none"/>
                <w:lang w:val="en-US" w:eastAsia="zh-CN"/>
              </w:rPr>
              <w:t>日</w:t>
            </w:r>
          </w:p>
        </w:tc>
      </w:tr>
    </w:tbl>
    <w:p w14:paraId="49E25A6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tbl>
      <w:tblPr>
        <w:tblStyle w:val="9"/>
        <w:tblW w:w="8527" w:type="dxa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2131"/>
        <w:gridCol w:w="2132"/>
        <w:gridCol w:w="2132"/>
      </w:tblGrid>
      <w:tr w14:paraId="72E95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32" w:type="dxa"/>
          </w:tcPr>
          <w:p w14:paraId="7C8AFE8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临床试验同意文号</w:t>
            </w:r>
          </w:p>
        </w:tc>
        <w:tc>
          <w:tcPr>
            <w:tcW w:w="6395" w:type="dxa"/>
            <w:gridSpan w:val="3"/>
          </w:tcPr>
          <w:p w14:paraId="71DB4BA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6A70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2" w:type="dxa"/>
          </w:tcPr>
          <w:p w14:paraId="59DA36A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申办者的单位名称</w:t>
            </w:r>
          </w:p>
        </w:tc>
        <w:tc>
          <w:tcPr>
            <w:tcW w:w="6395" w:type="dxa"/>
            <w:gridSpan w:val="3"/>
          </w:tcPr>
          <w:p w14:paraId="517E8B8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92EA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32" w:type="dxa"/>
          </w:tcPr>
          <w:p w14:paraId="15F5050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申办者的联系人</w:t>
            </w:r>
          </w:p>
        </w:tc>
        <w:tc>
          <w:tcPr>
            <w:tcW w:w="2131" w:type="dxa"/>
          </w:tcPr>
          <w:p w14:paraId="010D590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</w:tcPr>
          <w:p w14:paraId="477C505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205" w:right="195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电话</w:t>
            </w:r>
          </w:p>
        </w:tc>
        <w:tc>
          <w:tcPr>
            <w:tcW w:w="2132" w:type="dxa"/>
          </w:tcPr>
          <w:p w14:paraId="2F9562B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F556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2" w:type="dxa"/>
          </w:tcPr>
          <w:p w14:paraId="1B32649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临床研究分类</w:t>
            </w:r>
          </w:p>
        </w:tc>
        <w:tc>
          <w:tcPr>
            <w:tcW w:w="6395" w:type="dxa"/>
            <w:gridSpan w:val="3"/>
          </w:tcPr>
          <w:p w14:paraId="5EB1601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期，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Ⅱ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期，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Ⅲ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期，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Ⅳ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期，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生物等效性试验，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其他</w:t>
            </w:r>
          </w:p>
        </w:tc>
      </w:tr>
    </w:tbl>
    <w:p w14:paraId="7F94102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tbl>
      <w:tblPr>
        <w:tblStyle w:val="9"/>
        <w:tblW w:w="8529" w:type="dxa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1"/>
        <w:gridCol w:w="711"/>
        <w:gridCol w:w="710"/>
        <w:gridCol w:w="1421"/>
        <w:gridCol w:w="1"/>
        <w:gridCol w:w="1421"/>
        <w:gridCol w:w="710"/>
        <w:gridCol w:w="712"/>
        <w:gridCol w:w="1420"/>
        <w:gridCol w:w="1"/>
        <w:gridCol w:w="1"/>
      </w:tblGrid>
      <w:tr w14:paraId="60530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7774C00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研究机构名称</w:t>
            </w:r>
          </w:p>
        </w:tc>
        <w:tc>
          <w:tcPr>
            <w:tcW w:w="6395" w:type="dxa"/>
            <w:gridSpan w:val="7"/>
          </w:tcPr>
          <w:p w14:paraId="7C62851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1F362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153A53D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报告者姓名</w:t>
            </w:r>
          </w:p>
        </w:tc>
        <w:tc>
          <w:tcPr>
            <w:tcW w:w="6395" w:type="dxa"/>
            <w:gridSpan w:val="7"/>
          </w:tcPr>
          <w:p w14:paraId="5AE88ED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C0C1B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512D712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报告者的电话</w:t>
            </w:r>
          </w:p>
        </w:tc>
        <w:tc>
          <w:tcPr>
            <w:tcW w:w="2131" w:type="dxa"/>
            <w:gridSpan w:val="2"/>
          </w:tcPr>
          <w:p w14:paraId="21FECB5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3"/>
          </w:tcPr>
          <w:p w14:paraId="14127CF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电子信箱</w:t>
            </w:r>
          </w:p>
        </w:tc>
        <w:tc>
          <w:tcPr>
            <w:tcW w:w="2132" w:type="dxa"/>
            <w:gridSpan w:val="2"/>
          </w:tcPr>
          <w:p w14:paraId="0D56D63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73DF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0C83C64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受试者的鉴认代码</w:t>
            </w:r>
          </w:p>
        </w:tc>
        <w:tc>
          <w:tcPr>
            <w:tcW w:w="2131" w:type="dxa"/>
            <w:gridSpan w:val="2"/>
          </w:tcPr>
          <w:p w14:paraId="740AA41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3"/>
          </w:tcPr>
          <w:p w14:paraId="1213A54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195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民族</w:t>
            </w:r>
          </w:p>
        </w:tc>
        <w:tc>
          <w:tcPr>
            <w:tcW w:w="2132" w:type="dxa"/>
            <w:gridSpan w:val="2"/>
          </w:tcPr>
          <w:p w14:paraId="6405D72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164C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3485AD7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出生时间</w:t>
            </w:r>
          </w:p>
        </w:tc>
        <w:tc>
          <w:tcPr>
            <w:tcW w:w="2131" w:type="dxa"/>
            <w:gridSpan w:val="2"/>
          </w:tcPr>
          <w:p w14:paraId="0D95833E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1188"/>
                <w:tab w:val="left" w:pos="172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64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  <w:tc>
          <w:tcPr>
            <w:tcW w:w="2132" w:type="dxa"/>
            <w:gridSpan w:val="3"/>
          </w:tcPr>
          <w:p w14:paraId="12CAD4D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195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性别</w:t>
            </w:r>
          </w:p>
        </w:tc>
        <w:tc>
          <w:tcPr>
            <w:tcW w:w="2132" w:type="dxa"/>
            <w:gridSpan w:val="2"/>
          </w:tcPr>
          <w:p w14:paraId="677FB16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男，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女</w:t>
            </w:r>
          </w:p>
        </w:tc>
      </w:tr>
      <w:tr w14:paraId="44BD9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487" w:hRule="atLeast"/>
        </w:trPr>
        <w:tc>
          <w:tcPr>
            <w:tcW w:w="2132" w:type="dxa"/>
            <w:gridSpan w:val="2"/>
          </w:tcPr>
          <w:p w14:paraId="2B269C0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体重（公斤）</w:t>
            </w:r>
          </w:p>
        </w:tc>
        <w:tc>
          <w:tcPr>
            <w:tcW w:w="2131" w:type="dxa"/>
            <w:gridSpan w:val="2"/>
          </w:tcPr>
          <w:p w14:paraId="7F89036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3"/>
          </w:tcPr>
          <w:p w14:paraId="3FCB680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right="195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身高（厘米）</w:t>
            </w:r>
          </w:p>
        </w:tc>
        <w:tc>
          <w:tcPr>
            <w:tcW w:w="2132" w:type="dxa"/>
            <w:gridSpan w:val="2"/>
          </w:tcPr>
          <w:p w14:paraId="7E3DE98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284B9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26AFC34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试者是否退出研究</w:t>
            </w:r>
          </w:p>
        </w:tc>
        <w:tc>
          <w:tcPr>
            <w:tcW w:w="6395" w:type="dxa"/>
            <w:gridSpan w:val="7"/>
          </w:tcPr>
          <w:p w14:paraId="0E3AC22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08FB83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5" w:hRule="atLeast"/>
        </w:trPr>
        <w:tc>
          <w:tcPr>
            <w:tcW w:w="8528" w:type="dxa"/>
            <w:gridSpan w:val="10"/>
          </w:tcPr>
          <w:p w14:paraId="5B583D4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现病史（试验用药适应证以外，SAE 发生时未恢复的疾病）：描述每一疾病的名称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开始时间，治疗药物（通用名）及用法用量</w:t>
            </w:r>
          </w:p>
        </w:tc>
      </w:tr>
      <w:tr w14:paraId="7BD97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1" w:hRule="atLeast"/>
        </w:trPr>
        <w:tc>
          <w:tcPr>
            <w:tcW w:w="8528" w:type="dxa"/>
            <w:gridSpan w:val="10"/>
          </w:tcPr>
          <w:p w14:paraId="10BE651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B383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8" w:hRule="atLeast"/>
        </w:trPr>
        <w:tc>
          <w:tcPr>
            <w:tcW w:w="8528" w:type="dxa"/>
            <w:gridSpan w:val="10"/>
          </w:tcPr>
          <w:p w14:paraId="53CB13D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既往史（SAE 发生时已经恢复的以往疾病，以及饮酒史，吸烟史，过敏史。特别说明有无肝病史、肾病史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）</w:t>
            </w:r>
          </w:p>
        </w:tc>
      </w:tr>
      <w:tr w14:paraId="524F9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5" w:hRule="atLeast"/>
        </w:trPr>
        <w:tc>
          <w:tcPr>
            <w:tcW w:w="8528" w:type="dxa"/>
            <w:gridSpan w:val="10"/>
          </w:tcPr>
          <w:p w14:paraId="31A3230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1049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7" w:hRule="atLeast"/>
        </w:trPr>
        <w:tc>
          <w:tcPr>
            <w:tcW w:w="8528" w:type="dxa"/>
            <w:gridSpan w:val="10"/>
          </w:tcPr>
          <w:p w14:paraId="0AD24BF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家族史</w:t>
            </w:r>
          </w:p>
        </w:tc>
      </w:tr>
      <w:tr w14:paraId="05C8EB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8528" w:type="dxa"/>
            <w:gridSpan w:val="10"/>
          </w:tcPr>
          <w:p w14:paraId="4BD5C57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4091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8527" w:type="dxa"/>
            <w:gridSpan w:val="9"/>
          </w:tcPr>
          <w:p w14:paraId="6CF3EB9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严重不良事件</w:t>
            </w:r>
          </w:p>
        </w:tc>
      </w:tr>
      <w:tr w14:paraId="663F7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3E1A865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名称（诊断）</w:t>
            </w:r>
          </w:p>
        </w:tc>
        <w:tc>
          <w:tcPr>
            <w:tcW w:w="6395" w:type="dxa"/>
            <w:gridSpan w:val="7"/>
          </w:tcPr>
          <w:p w14:paraId="69F97B1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7DF27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5DEA58C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是否预期</w:t>
            </w:r>
          </w:p>
        </w:tc>
        <w:tc>
          <w:tcPr>
            <w:tcW w:w="6395" w:type="dxa"/>
            <w:gridSpan w:val="7"/>
          </w:tcPr>
          <w:p w14:paraId="13944EA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5C853E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268EFDD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发生时间</w:t>
            </w:r>
          </w:p>
        </w:tc>
        <w:tc>
          <w:tcPr>
            <w:tcW w:w="2131" w:type="dxa"/>
            <w:gridSpan w:val="2"/>
          </w:tcPr>
          <w:p w14:paraId="3D8D7B8D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1188"/>
                <w:tab w:val="left" w:pos="172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64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  <w:tc>
          <w:tcPr>
            <w:tcW w:w="2132" w:type="dxa"/>
            <w:gridSpan w:val="3"/>
          </w:tcPr>
          <w:p w14:paraId="5C4539C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535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结束时间</w:t>
            </w:r>
          </w:p>
        </w:tc>
        <w:tc>
          <w:tcPr>
            <w:tcW w:w="2132" w:type="dxa"/>
            <w:gridSpan w:val="2"/>
          </w:tcPr>
          <w:p w14:paraId="468CD1ED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1188"/>
                <w:tab w:val="left" w:pos="172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64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</w:tr>
      <w:tr w14:paraId="7A6A6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67C2D71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获知时间</w:t>
            </w:r>
          </w:p>
        </w:tc>
        <w:tc>
          <w:tcPr>
            <w:tcW w:w="6395" w:type="dxa"/>
            <w:gridSpan w:val="7"/>
          </w:tcPr>
          <w:p w14:paraId="0822E8C8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1188"/>
                <w:tab w:val="left" w:pos="172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64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</w:tr>
      <w:tr w14:paraId="21F88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1739" w:hRule="atLeast"/>
        </w:trPr>
        <w:tc>
          <w:tcPr>
            <w:tcW w:w="2132" w:type="dxa"/>
            <w:gridSpan w:val="2"/>
          </w:tcPr>
          <w:p w14:paraId="2419173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程度</w:t>
            </w:r>
          </w:p>
        </w:tc>
        <w:tc>
          <w:tcPr>
            <w:tcW w:w="6395" w:type="dxa"/>
            <w:gridSpan w:val="7"/>
          </w:tcPr>
          <w:p w14:paraId="6E6B6D9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right="94" w:firstLine="206" w:firstLineChars="1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导致死亡</w:t>
            </w:r>
          </w:p>
          <w:p w14:paraId="3D0C45E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right="94" w:firstLine="206" w:firstLineChars="1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危及生命（指患者即刻存在死亡的风险，并非是指假设将来发展严重时可能出现死亡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）</w:t>
            </w:r>
          </w:p>
          <w:p w14:paraId="30063B9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right="94" w:firstLine="206" w:firstLineChars="100"/>
              <w:textAlignment w:val="auto"/>
              <w:rPr>
                <w:rFonts w:hint="default" w:ascii="Times New Roman" w:hAnsi="Times New Roman" w:eastAsia="宋体" w:cs="Times New Roman"/>
                <w:spacing w:val="-7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pacing w:val="-7"/>
                <w:sz w:val="21"/>
                <w:szCs w:val="21"/>
              </w:rPr>
              <w:t>导致住院或住院时间延长</w:t>
            </w:r>
          </w:p>
          <w:p w14:paraId="33062E6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right="94" w:firstLine="206" w:firstLineChars="1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pacing w:val="-7"/>
                <w:sz w:val="21"/>
                <w:szCs w:val="21"/>
              </w:rPr>
              <w:t>永久或显著的功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能丧失</w:t>
            </w:r>
          </w:p>
          <w:p w14:paraId="1B8351F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right="94" w:firstLine="206" w:firstLineChars="1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致畸、致出生缺陷</w:t>
            </w:r>
          </w:p>
          <w:p w14:paraId="16C0485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right="94" w:firstLine="206" w:firstLineChars="1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其他重要医学事件（可能不会立即危及生</w:t>
            </w:r>
            <w:r>
              <w:rPr>
                <w:rFonts w:hint="default" w:ascii="Times New Roman" w:hAnsi="Times New Roman" w:eastAsia="宋体" w:cs="Times New Roman"/>
                <w:spacing w:val="-1"/>
                <w:sz w:val="21"/>
                <w:szCs w:val="21"/>
              </w:rPr>
              <w:t>命、死亡或住院，但如需要采取医学措施来预防以上情形之一的发生，也通常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被视为是严重的）</w:t>
            </w:r>
          </w:p>
        </w:tc>
      </w:tr>
      <w:tr w14:paraId="01F42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3A5ED91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CTCAE 分级</w:t>
            </w:r>
          </w:p>
        </w:tc>
        <w:tc>
          <w:tcPr>
            <w:tcW w:w="6395" w:type="dxa"/>
            <w:gridSpan w:val="7"/>
          </w:tcPr>
          <w:p w14:paraId="367CC85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3E3F9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57AD703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对SAE 的医疗措施</w:t>
            </w:r>
          </w:p>
        </w:tc>
        <w:tc>
          <w:tcPr>
            <w:tcW w:w="6395" w:type="dxa"/>
            <w:gridSpan w:val="7"/>
          </w:tcPr>
          <w:p w14:paraId="0137561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pacing w:val="-3"/>
                <w:sz w:val="21"/>
                <w:szCs w:val="21"/>
              </w:rPr>
              <w:t>无，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w w:val="88"/>
                <w:sz w:val="21"/>
                <w:szCs w:val="21"/>
              </w:rPr>
              <w:t>有（请在</w:t>
            </w:r>
            <w:r>
              <w:rPr>
                <w:rFonts w:hint="eastAsia" w:ascii="Times New Roman" w:hAnsi="Times New Roman" w:eastAsia="宋体" w:cs="Times New Roman"/>
                <w:w w:val="88"/>
                <w:sz w:val="21"/>
                <w:szCs w:val="21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w w:val="88"/>
                <w:sz w:val="21"/>
                <w:szCs w:val="21"/>
              </w:rPr>
              <w:t>SAE</w:t>
            </w:r>
            <w:r>
              <w:rPr>
                <w:rFonts w:hint="default" w:ascii="Times New Roman" w:hAnsi="Times New Roman" w:eastAsia="宋体" w:cs="Times New Roman"/>
                <w:spacing w:val="-1"/>
                <w:sz w:val="21"/>
                <w:szCs w:val="21"/>
              </w:rPr>
              <w:t xml:space="preserve"> 临</w:t>
            </w:r>
            <w:r>
              <w:rPr>
                <w:rFonts w:hint="default" w:ascii="Times New Roman" w:hAnsi="Times New Roman" w:eastAsia="宋体" w:cs="Times New Roman"/>
                <w:w w:val="95"/>
                <w:sz w:val="21"/>
                <w:szCs w:val="21"/>
              </w:rPr>
              <w:t>床表现及处理的详细情况</w:t>
            </w:r>
            <w:r>
              <w:rPr>
                <w:rFonts w:hint="eastAsia" w:ascii="Times New Roman" w:hAnsi="Times New Roman" w:eastAsia="宋体" w:cs="Times New Roman"/>
                <w:w w:val="95"/>
                <w:sz w:val="21"/>
                <w:szCs w:val="21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w w:val="95"/>
                <w:sz w:val="21"/>
                <w:szCs w:val="21"/>
              </w:rPr>
              <w:t>栏说明</w:t>
            </w:r>
            <w:r>
              <w:rPr>
                <w:rFonts w:hint="default" w:ascii="Times New Roman" w:hAnsi="Times New Roman" w:eastAsia="宋体" w:cs="Times New Roman"/>
                <w:w w:val="95"/>
                <w:sz w:val="21"/>
                <w:szCs w:val="21"/>
                <w:lang w:eastAsia="zh-CN"/>
              </w:rPr>
              <w:t>），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pacing w:val="-1"/>
                <w:sz w:val="21"/>
                <w:szCs w:val="21"/>
              </w:rPr>
              <w:t>不详</w:t>
            </w:r>
          </w:p>
        </w:tc>
      </w:tr>
      <w:tr w14:paraId="708C3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3763363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的转归</w:t>
            </w:r>
          </w:p>
        </w:tc>
        <w:tc>
          <w:tcPr>
            <w:tcW w:w="6395" w:type="dxa"/>
            <w:gridSpan w:val="7"/>
          </w:tcPr>
          <w:p w14:paraId="3DB85EE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痊愈，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痊愈伴有后遗症，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好转，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无好转，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死亡，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不详</w:t>
            </w:r>
          </w:p>
        </w:tc>
      </w:tr>
      <w:tr w14:paraId="2F8F4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69406A5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死亡时间</w:t>
            </w:r>
          </w:p>
        </w:tc>
        <w:tc>
          <w:tcPr>
            <w:tcW w:w="2131" w:type="dxa"/>
            <w:gridSpan w:val="2"/>
          </w:tcPr>
          <w:p w14:paraId="081A298C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1188"/>
                <w:tab w:val="left" w:pos="172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64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  <w:tc>
          <w:tcPr>
            <w:tcW w:w="2132" w:type="dxa"/>
            <w:gridSpan w:val="3"/>
          </w:tcPr>
          <w:p w14:paraId="655486B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706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是否尸检</w:t>
            </w:r>
          </w:p>
        </w:tc>
        <w:tc>
          <w:tcPr>
            <w:tcW w:w="2132" w:type="dxa"/>
            <w:gridSpan w:val="2"/>
          </w:tcPr>
          <w:p w14:paraId="65343CD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10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□</w:t>
            </w:r>
            <w:r>
              <w:rPr>
                <w:rFonts w:hint="default" w:ascii="Times New Roman" w:hAnsi="Times New Roman" w:eastAsia="宋体" w:cs="Times New Roman"/>
                <w:spacing w:val="-32"/>
                <w:sz w:val="21"/>
                <w:szCs w:val="21"/>
              </w:rPr>
              <w:t>否</w:t>
            </w:r>
            <w:r>
              <w:rPr>
                <w:rFonts w:hint="eastAsia" w:ascii="Times New Roman" w:hAnsi="Times New Roman" w:eastAsia="宋体" w:cs="Times New Roman"/>
                <w:spacing w:val="-32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□</w:t>
            </w:r>
            <w:r>
              <w:rPr>
                <w:rFonts w:hint="default" w:ascii="Times New Roman" w:hAnsi="Times New Roman" w:eastAsia="宋体" w:cs="Times New Roman"/>
                <w:spacing w:val="-32"/>
                <w:sz w:val="21"/>
                <w:szCs w:val="21"/>
              </w:rPr>
              <w:t>是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（附尸检报告</w:t>
            </w:r>
            <w:r>
              <w:rPr>
                <w:rFonts w:hint="default" w:ascii="Times New Roman" w:hAnsi="Times New Roman" w:eastAsia="宋体" w:cs="Times New Roman"/>
                <w:spacing w:val="-12"/>
                <w:sz w:val="21"/>
                <w:szCs w:val="21"/>
              </w:rPr>
              <w:t>）</w:t>
            </w:r>
          </w:p>
        </w:tc>
      </w:tr>
      <w:tr w14:paraId="058BC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8527" w:type="dxa"/>
            <w:gridSpan w:val="9"/>
          </w:tcPr>
          <w:p w14:paraId="5CAA655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与SAE 相关的实验室检查项目</w:t>
            </w:r>
          </w:p>
        </w:tc>
      </w:tr>
      <w:tr w14:paraId="234C7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333ADF4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525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检查项目名称</w:t>
            </w:r>
          </w:p>
        </w:tc>
        <w:tc>
          <w:tcPr>
            <w:tcW w:w="2131" w:type="dxa"/>
            <w:gridSpan w:val="2"/>
          </w:tcPr>
          <w:p w14:paraId="23BEB5B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705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检查日期</w:t>
            </w:r>
          </w:p>
        </w:tc>
        <w:tc>
          <w:tcPr>
            <w:tcW w:w="2132" w:type="dxa"/>
            <w:gridSpan w:val="3"/>
          </w:tcPr>
          <w:p w14:paraId="5F9505F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706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检查结果</w:t>
            </w:r>
          </w:p>
        </w:tc>
        <w:tc>
          <w:tcPr>
            <w:tcW w:w="2132" w:type="dxa"/>
            <w:gridSpan w:val="2"/>
          </w:tcPr>
          <w:p w14:paraId="1871AC3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526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正常值上下限</w:t>
            </w:r>
          </w:p>
        </w:tc>
      </w:tr>
      <w:tr w14:paraId="529F8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4F4F676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41B428C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3"/>
          </w:tcPr>
          <w:p w14:paraId="284640E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2"/>
          </w:tcPr>
          <w:p w14:paraId="4EEB8E7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8835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7F8D857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28EDBC5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3"/>
          </w:tcPr>
          <w:p w14:paraId="7FBEDB0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2"/>
          </w:tcPr>
          <w:p w14:paraId="3064980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89AE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2586A1A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1" w:type="dxa"/>
            <w:gridSpan w:val="2"/>
          </w:tcPr>
          <w:p w14:paraId="362F3DC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3"/>
          </w:tcPr>
          <w:p w14:paraId="29F1327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2"/>
          </w:tcPr>
          <w:p w14:paraId="12B1D67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32123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8527" w:type="dxa"/>
            <w:gridSpan w:val="9"/>
          </w:tcPr>
          <w:p w14:paraId="74DD70D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-3"/>
                <w:sz w:val="21"/>
                <w:szCs w:val="21"/>
              </w:rPr>
              <w:t>试验用药品使用情况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如为设盲试验，尚未破盲，</w:t>
            </w:r>
            <w:r>
              <w:rPr>
                <w:rFonts w:hint="eastAsia" w:ascii="Times New Roman" w:hAnsi="Times New Roman" w:eastAsia="宋体" w:cs="Times New Roman"/>
                <w:spacing w:val="-5"/>
                <w:sz w:val="21"/>
                <w:szCs w:val="21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试验用药品名称</w:t>
            </w:r>
            <w:r>
              <w:rPr>
                <w:rFonts w:hint="eastAsia" w:ascii="Times New Roman" w:hAnsi="Times New Roman" w:eastAsia="宋体" w:cs="Times New Roman"/>
                <w:spacing w:val="-5"/>
                <w:sz w:val="21"/>
                <w:szCs w:val="21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spacing w:val="-5"/>
                <w:sz w:val="21"/>
                <w:szCs w:val="21"/>
              </w:rPr>
              <w:t>记录未破盲</w:t>
            </w:r>
            <w:r>
              <w:rPr>
                <w:rFonts w:hint="default" w:ascii="Times New Roman" w:hAnsi="Times New Roman" w:eastAsia="宋体" w:cs="Times New Roman"/>
                <w:w w:val="90"/>
                <w:sz w:val="21"/>
                <w:szCs w:val="21"/>
                <w:lang w:eastAsia="zh-CN"/>
              </w:rPr>
              <w:t>）</w:t>
            </w:r>
          </w:p>
        </w:tc>
      </w:tr>
      <w:tr w14:paraId="246BC9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70F9965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试验用药品名称</w:t>
            </w:r>
          </w:p>
        </w:tc>
        <w:tc>
          <w:tcPr>
            <w:tcW w:w="6395" w:type="dxa"/>
            <w:gridSpan w:val="7"/>
          </w:tcPr>
          <w:p w14:paraId="0D1CF45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7C467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2247AED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药物编号</w:t>
            </w:r>
          </w:p>
        </w:tc>
        <w:tc>
          <w:tcPr>
            <w:tcW w:w="6395" w:type="dxa"/>
            <w:gridSpan w:val="7"/>
          </w:tcPr>
          <w:p w14:paraId="7CC85EB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2ED3A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1DFA3F5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临床试验用药适应证</w:t>
            </w:r>
          </w:p>
        </w:tc>
        <w:tc>
          <w:tcPr>
            <w:tcW w:w="6395" w:type="dxa"/>
            <w:gridSpan w:val="7"/>
          </w:tcPr>
          <w:p w14:paraId="1A0FBAF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48D5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43095D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是否已经给药</w:t>
            </w:r>
          </w:p>
        </w:tc>
        <w:tc>
          <w:tcPr>
            <w:tcW w:w="2131" w:type="dxa"/>
            <w:gridSpan w:val="2"/>
          </w:tcPr>
          <w:p w14:paraId="5B3636A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  <w:tc>
          <w:tcPr>
            <w:tcW w:w="2132" w:type="dxa"/>
            <w:gridSpan w:val="3"/>
          </w:tcPr>
          <w:p w14:paraId="63C5E05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205" w:right="195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开始用药时间</w:t>
            </w:r>
          </w:p>
        </w:tc>
        <w:tc>
          <w:tcPr>
            <w:tcW w:w="2132" w:type="dxa"/>
            <w:gridSpan w:val="2"/>
          </w:tcPr>
          <w:p w14:paraId="5CE41BC5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539"/>
                <w:tab w:val="left" w:pos="107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right="211"/>
              <w:jc w:val="righ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</w:tr>
      <w:tr w14:paraId="02F6A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233B720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w w:val="105"/>
                <w:sz w:val="21"/>
                <w:szCs w:val="21"/>
              </w:rPr>
              <w:t>剂量/日</w:t>
            </w:r>
          </w:p>
        </w:tc>
        <w:tc>
          <w:tcPr>
            <w:tcW w:w="2131" w:type="dxa"/>
            <w:gridSpan w:val="2"/>
          </w:tcPr>
          <w:p w14:paraId="58808CE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2" w:type="dxa"/>
            <w:gridSpan w:val="3"/>
          </w:tcPr>
          <w:p w14:paraId="23653CB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205" w:right="195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给药途径</w:t>
            </w:r>
          </w:p>
        </w:tc>
        <w:tc>
          <w:tcPr>
            <w:tcW w:w="2132" w:type="dxa"/>
            <w:gridSpan w:val="2"/>
          </w:tcPr>
          <w:p w14:paraId="4F65AC4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5297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7C9331C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对试验用药采取的措施</w:t>
            </w:r>
          </w:p>
        </w:tc>
        <w:tc>
          <w:tcPr>
            <w:tcW w:w="6395" w:type="dxa"/>
            <w:gridSpan w:val="7"/>
          </w:tcPr>
          <w:p w14:paraId="14821B1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继续用药，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减少剂量，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停药，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停药后恢复用药</w:t>
            </w:r>
          </w:p>
        </w:tc>
      </w:tr>
      <w:tr w14:paraId="769D9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8" w:hRule="atLeast"/>
        </w:trPr>
        <w:tc>
          <w:tcPr>
            <w:tcW w:w="2132" w:type="dxa"/>
            <w:gridSpan w:val="2"/>
          </w:tcPr>
          <w:p w14:paraId="1EDF5B5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采取措施的时间</w:t>
            </w:r>
          </w:p>
        </w:tc>
        <w:tc>
          <w:tcPr>
            <w:tcW w:w="6395" w:type="dxa"/>
            <w:gridSpan w:val="7"/>
          </w:tcPr>
          <w:p w14:paraId="0FA31A64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1188"/>
                <w:tab w:val="left" w:pos="172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64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</w:tr>
      <w:tr w14:paraId="6F7B5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47" w:hRule="atLeast"/>
        </w:trPr>
        <w:tc>
          <w:tcPr>
            <w:tcW w:w="2132" w:type="dxa"/>
            <w:gridSpan w:val="2"/>
          </w:tcPr>
          <w:p w14:paraId="4218708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是否破盲</w:t>
            </w:r>
          </w:p>
        </w:tc>
        <w:tc>
          <w:tcPr>
            <w:tcW w:w="2131" w:type="dxa"/>
            <w:gridSpan w:val="2"/>
          </w:tcPr>
          <w:p w14:paraId="4FC3A8F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412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  <w:tc>
          <w:tcPr>
            <w:tcW w:w="2132" w:type="dxa"/>
            <w:gridSpan w:val="3"/>
          </w:tcPr>
          <w:p w14:paraId="128B08A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205" w:right="195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破盲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时间</w:t>
            </w:r>
          </w:p>
        </w:tc>
        <w:tc>
          <w:tcPr>
            <w:tcW w:w="2132" w:type="dxa"/>
            <w:gridSpan w:val="2"/>
          </w:tcPr>
          <w:p w14:paraId="7418B478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539"/>
                <w:tab w:val="left" w:pos="107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right="211"/>
              <w:jc w:val="righ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</w:tr>
      <w:tr w14:paraId="752088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8529" w:type="dxa"/>
            <w:gridSpan w:val="11"/>
          </w:tcPr>
          <w:p w14:paraId="659C724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合并用药（合并用药指 SAE 发生前开始使用，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发生时正在使用的药品。针对 SAE 的治疗用药，请记录在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临床表现及处理的详细情况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栏）</w:t>
            </w:r>
          </w:p>
        </w:tc>
      </w:tr>
      <w:tr w14:paraId="6B5760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21" w:type="dxa"/>
          </w:tcPr>
          <w:p w14:paraId="5D76A1E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35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药物名称</w:t>
            </w:r>
          </w:p>
        </w:tc>
        <w:tc>
          <w:tcPr>
            <w:tcW w:w="1421" w:type="dxa"/>
            <w:gridSpan w:val="2"/>
          </w:tcPr>
          <w:p w14:paraId="1EE22FB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405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w w:val="105"/>
                <w:sz w:val="21"/>
                <w:szCs w:val="21"/>
              </w:rPr>
              <w:t>剂量/日</w:t>
            </w:r>
          </w:p>
        </w:tc>
        <w:tc>
          <w:tcPr>
            <w:tcW w:w="1422" w:type="dxa"/>
            <w:gridSpan w:val="2"/>
          </w:tcPr>
          <w:p w14:paraId="00362F6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349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给药途径</w:t>
            </w:r>
          </w:p>
        </w:tc>
        <w:tc>
          <w:tcPr>
            <w:tcW w:w="1421" w:type="dxa"/>
          </w:tcPr>
          <w:p w14:paraId="3ADC6C3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right="159"/>
              <w:jc w:val="righ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开始用药时间</w:t>
            </w:r>
          </w:p>
        </w:tc>
        <w:tc>
          <w:tcPr>
            <w:tcW w:w="1422" w:type="dxa"/>
            <w:gridSpan w:val="2"/>
          </w:tcPr>
          <w:p w14:paraId="76D6AE9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349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停药时间</w:t>
            </w:r>
          </w:p>
        </w:tc>
        <w:tc>
          <w:tcPr>
            <w:tcW w:w="1422" w:type="dxa"/>
            <w:gridSpan w:val="3"/>
          </w:tcPr>
          <w:p w14:paraId="2B75A0F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349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使用原因</w:t>
            </w:r>
          </w:p>
        </w:tc>
      </w:tr>
      <w:tr w14:paraId="7671E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21" w:type="dxa"/>
          </w:tcPr>
          <w:p w14:paraId="6E54368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1" w:type="dxa"/>
            <w:gridSpan w:val="2"/>
          </w:tcPr>
          <w:p w14:paraId="21EC729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2" w:type="dxa"/>
            <w:gridSpan w:val="2"/>
          </w:tcPr>
          <w:p w14:paraId="46F56B8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1" w:type="dxa"/>
          </w:tcPr>
          <w:p w14:paraId="4DA9266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right="131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年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   日</w:t>
            </w:r>
          </w:p>
        </w:tc>
        <w:tc>
          <w:tcPr>
            <w:tcW w:w="1422" w:type="dxa"/>
            <w:gridSpan w:val="2"/>
          </w:tcPr>
          <w:p w14:paraId="328730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right="132"/>
              <w:jc w:val="righ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年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   日</w:t>
            </w:r>
          </w:p>
        </w:tc>
        <w:tc>
          <w:tcPr>
            <w:tcW w:w="1422" w:type="dxa"/>
            <w:gridSpan w:val="3"/>
          </w:tcPr>
          <w:p w14:paraId="2D413C3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05352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21" w:type="dxa"/>
          </w:tcPr>
          <w:p w14:paraId="7BB0A90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1" w:type="dxa"/>
            <w:gridSpan w:val="2"/>
          </w:tcPr>
          <w:p w14:paraId="35B03C1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2" w:type="dxa"/>
            <w:gridSpan w:val="2"/>
          </w:tcPr>
          <w:p w14:paraId="69F377B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1" w:type="dxa"/>
          </w:tcPr>
          <w:p w14:paraId="28B9DC7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right="131"/>
              <w:jc w:val="righ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年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   日</w:t>
            </w:r>
          </w:p>
        </w:tc>
        <w:tc>
          <w:tcPr>
            <w:tcW w:w="1422" w:type="dxa"/>
            <w:gridSpan w:val="2"/>
          </w:tcPr>
          <w:p w14:paraId="5D53B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right="132"/>
              <w:jc w:val="righ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年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   日</w:t>
            </w:r>
          </w:p>
        </w:tc>
        <w:tc>
          <w:tcPr>
            <w:tcW w:w="1422" w:type="dxa"/>
            <w:gridSpan w:val="3"/>
          </w:tcPr>
          <w:p w14:paraId="083B7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0FC5D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421" w:type="dxa"/>
          </w:tcPr>
          <w:p w14:paraId="2CEF61C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1" w:type="dxa"/>
            <w:gridSpan w:val="2"/>
          </w:tcPr>
          <w:p w14:paraId="5C8B962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2" w:type="dxa"/>
            <w:gridSpan w:val="2"/>
          </w:tcPr>
          <w:p w14:paraId="5465167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1" w:type="dxa"/>
          </w:tcPr>
          <w:p w14:paraId="3F84416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right="131"/>
              <w:jc w:val="righ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年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   日</w:t>
            </w:r>
          </w:p>
        </w:tc>
        <w:tc>
          <w:tcPr>
            <w:tcW w:w="1422" w:type="dxa"/>
            <w:gridSpan w:val="2"/>
          </w:tcPr>
          <w:p w14:paraId="70C9E5F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right="132"/>
              <w:jc w:val="righ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年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   日</w:t>
            </w:r>
          </w:p>
        </w:tc>
        <w:tc>
          <w:tcPr>
            <w:tcW w:w="1422" w:type="dxa"/>
            <w:gridSpan w:val="3"/>
          </w:tcPr>
          <w:p w14:paraId="6590698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4126E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8" w:hRule="atLeast"/>
        </w:trPr>
        <w:tc>
          <w:tcPr>
            <w:tcW w:w="8528" w:type="dxa"/>
            <w:gridSpan w:val="10"/>
          </w:tcPr>
          <w:p w14:paraId="6CFC473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相关性评价</w:t>
            </w:r>
          </w:p>
        </w:tc>
      </w:tr>
      <w:tr w14:paraId="13144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7" w:hRule="atLeast"/>
        </w:trPr>
        <w:tc>
          <w:tcPr>
            <w:tcW w:w="2132" w:type="dxa"/>
            <w:gridSpan w:val="2"/>
          </w:tcPr>
          <w:p w14:paraId="05E5C05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可疑的药物</w:t>
            </w:r>
          </w:p>
        </w:tc>
        <w:tc>
          <w:tcPr>
            <w:tcW w:w="6396" w:type="dxa"/>
            <w:gridSpan w:val="8"/>
          </w:tcPr>
          <w:p w14:paraId="78D6026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18B6D0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5" w:hRule="atLeast"/>
        </w:trPr>
        <w:tc>
          <w:tcPr>
            <w:tcW w:w="2132" w:type="dxa"/>
            <w:gridSpan w:val="2"/>
          </w:tcPr>
          <w:p w14:paraId="7A6441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与SAE 的相关性</w:t>
            </w:r>
          </w:p>
        </w:tc>
        <w:tc>
          <w:tcPr>
            <w:tcW w:w="6396" w:type="dxa"/>
            <w:gridSpan w:val="8"/>
          </w:tcPr>
          <w:p w14:paraId="3102E76B"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7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肯定有关，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很可能有关，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可能有关，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可能无关，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肯定无关，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无法评价</w:t>
            </w:r>
          </w:p>
        </w:tc>
      </w:tr>
      <w:tr w14:paraId="40F01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8" w:hRule="atLeast"/>
        </w:trPr>
        <w:tc>
          <w:tcPr>
            <w:tcW w:w="2132" w:type="dxa"/>
            <w:gridSpan w:val="2"/>
          </w:tcPr>
          <w:p w14:paraId="7CACE39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停用可疑药物后</w:t>
            </w:r>
          </w:p>
        </w:tc>
        <w:tc>
          <w:tcPr>
            <w:tcW w:w="6396" w:type="dxa"/>
            <w:gridSpan w:val="8"/>
          </w:tcPr>
          <w:p w14:paraId="00CFE53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SAE消失，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SAE没有消失，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不适用，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不详</w:t>
            </w:r>
          </w:p>
        </w:tc>
      </w:tr>
      <w:tr w14:paraId="51581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7" w:hRule="atLeast"/>
        </w:trPr>
        <w:tc>
          <w:tcPr>
            <w:tcW w:w="2132" w:type="dxa"/>
            <w:gridSpan w:val="2"/>
          </w:tcPr>
          <w:p w14:paraId="72CDA11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再次使用可疑药物后</w:t>
            </w:r>
          </w:p>
        </w:tc>
        <w:tc>
          <w:tcPr>
            <w:tcW w:w="6396" w:type="dxa"/>
            <w:gridSpan w:val="8"/>
          </w:tcPr>
          <w:p w14:paraId="7FE09AA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SAE再次出现，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SAE没有再次出现，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不适用，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不详</w:t>
            </w:r>
          </w:p>
        </w:tc>
      </w:tr>
      <w:tr w14:paraId="564C1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8" w:hRule="atLeast"/>
        </w:trPr>
        <w:tc>
          <w:tcPr>
            <w:tcW w:w="2132" w:type="dxa"/>
            <w:gridSpan w:val="2"/>
          </w:tcPr>
          <w:p w14:paraId="0975CE9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是否为SUSAR</w:t>
            </w:r>
          </w:p>
        </w:tc>
        <w:tc>
          <w:tcPr>
            <w:tcW w:w="6396" w:type="dxa"/>
            <w:gridSpan w:val="8"/>
          </w:tcPr>
          <w:p w14:paraId="524DBC6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 w:leftChars="0" w:firstLine="0" w:firstLineChars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是，</w:t>
            </w: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否</w:t>
            </w:r>
          </w:p>
        </w:tc>
      </w:tr>
      <w:tr w14:paraId="1F447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87" w:hRule="atLeast"/>
        </w:trPr>
        <w:tc>
          <w:tcPr>
            <w:tcW w:w="8528" w:type="dxa"/>
            <w:gridSpan w:val="10"/>
          </w:tcPr>
          <w:p w14:paraId="095ED07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right="9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 临床表现及处理的详细情况，包括</w:t>
            </w:r>
            <w:r>
              <w:rPr>
                <w:rFonts w:hint="default" w:ascii="Times New Roman" w:hAnsi="Times New Roman" w:eastAsia="宋体" w:cs="Times New Roman"/>
                <w:spacing w:val="23"/>
                <w:sz w:val="21"/>
                <w:szCs w:val="21"/>
              </w:rPr>
              <w:t>: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患者一般情况，疾病史，入组后诊断、治疗情况，是否合并用药及具体药物、给药方法，出现不良反应的时间、严重程度，相关检查检验结果，采取的措施（包括是否减药停药、减药停药后不良反应是否仍然存在、是否进行了对症治疗、具体治疗方法、停药后再次使用药物是否出现不良反应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），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转归（</w:t>
            </w:r>
            <w:r>
              <w:rPr>
                <w:rFonts w:hint="default" w:ascii="Times New Roman" w:hAnsi="Times New Roman" w:eastAsia="宋体" w:cs="Times New Roman"/>
                <w:spacing w:val="-3"/>
                <w:sz w:val="21"/>
                <w:szCs w:val="21"/>
              </w:rPr>
              <w:t xml:space="preserve">包括出现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</w:t>
            </w:r>
            <w:r>
              <w:rPr>
                <w:rFonts w:hint="default" w:ascii="Times New Roman" w:hAnsi="Times New Roman" w:eastAsia="宋体" w:cs="Times New Roman"/>
                <w:spacing w:val="-3"/>
                <w:sz w:val="21"/>
                <w:szCs w:val="21"/>
              </w:rPr>
              <w:t xml:space="preserve"> 后历次相关检查检验结果等</w:t>
            </w:r>
            <w:r>
              <w:rPr>
                <w:rFonts w:hint="default" w:ascii="Times New Roman" w:hAnsi="Times New Roman" w:eastAsia="宋体" w:cs="Times New Roman"/>
                <w:spacing w:val="-3"/>
                <w:sz w:val="21"/>
                <w:szCs w:val="21"/>
                <w:lang w:eastAsia="zh-CN"/>
              </w:rPr>
              <w:t>），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与试验药物因果关系判定应综合非临床安全性研究结果、其他临床研究安全性信息、同类药物安全性研究信息、药物作用机理等，简单分析并阐述与药物的相关性的判定依据</w:t>
            </w:r>
          </w:p>
        </w:tc>
      </w:tr>
      <w:tr w14:paraId="42F9EB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2" w:hRule="atLeast"/>
        </w:trPr>
        <w:tc>
          <w:tcPr>
            <w:tcW w:w="8528" w:type="dxa"/>
            <w:gridSpan w:val="10"/>
          </w:tcPr>
          <w:p w14:paraId="53F0E28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006A2C21">
      <w:pPr>
        <w:keepNext w:val="0"/>
        <w:keepLines w:val="0"/>
        <w:pageBreakBefore w:val="0"/>
        <w:widowControl w:val="0"/>
        <w:tabs>
          <w:tab w:val="left" w:pos="499"/>
        </w:tabs>
        <w:kinsoku/>
        <w:wordWrap/>
        <w:overflowPunct/>
        <w:topLinePunct w:val="0"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zh-CN" w:eastAsia="zh-CN"/>
        </w:rPr>
      </w:pPr>
    </w:p>
    <w:p w14:paraId="53EDFA2B">
      <w:pPr>
        <w:spacing w:line="360" w:lineRule="auto"/>
      </w:pPr>
      <w:r>
        <w:rPr>
          <w:rFonts w:hint="default" w:ascii="Times New Roman" w:hAnsi="Times New Roman" w:eastAsia="宋体" w:cs="Times New Roman"/>
          <w:sz w:val="21"/>
          <w:szCs w:val="21"/>
        </w:rPr>
        <w:t>主要研究者签字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日期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7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7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customStyle="1" w:styleId="6">
    <w:name w:val="21bc9c4b-6a32-43e5-beaa-fd2d792c5735"/>
    <w:basedOn w:val="2"/>
    <w:next w:val="7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7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  <w:style w:type="paragraph" w:customStyle="1" w:styleId="8">
    <w:name w:val="Table Paragraph"/>
    <w:basedOn w:val="1"/>
    <w:qFormat/>
    <w:uiPriority w:val="1"/>
    <w:pPr>
      <w:spacing w:before="25"/>
      <w:ind w:left="107"/>
    </w:pPr>
  </w:style>
  <w:style w:type="table" w:customStyle="1" w:styleId="9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2025-04-17T06:38:37Z</dcterms:created>
  <dc:creator>Administrator</dc:creator>
  <cp:lastModifiedBy>anuo</cp:lastModifiedBy>
  <dcterms:modified xsi:type="dcterms:W3CDTF">2025-04-17T06:39:02Z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eyJoZGlkIjoiZDA3ZDQwMmNiOWFlYzZjYTcwOWJiZGQ0YTA5ODBmZGUiLCJ1c2VySWQiOiIxMDE0OTYwMjkxIn0=</vt:lpwstr>
  </property>
  <property fmtid="{D5CDD505-2E9C-101B-9397-08002B2CF9AE}" pid="4" name="ICV">
    <vt:lpwstr>3DEF735BD98642BDB873D32C2F8196D5_12</vt:lpwstr>
  </property>
</Properties>
</file>